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1F38E8" w:rsidRDefault="00173131" w:rsidP="001F38E8">
      <w:pPr>
        <w:pStyle w:val="HTMLPreformatted"/>
        <w:shd w:val="clear" w:color="auto" w:fill="F8F9FA"/>
        <w:jc w:val="both"/>
        <w:rPr>
          <w:rFonts w:ascii="Times New Roman" w:hAnsi="Times New Roman" w:cs="Times New Roman"/>
          <w:b/>
          <w:color w:val="222222"/>
          <w:sz w:val="24"/>
          <w:szCs w:val="24"/>
        </w:rPr>
      </w:pPr>
      <w:r w:rsidRPr="001B01E9">
        <w:rPr>
          <w:rFonts w:ascii="Times New Roman" w:hAnsi="Times New Roman" w:cs="Times New Roman"/>
        </w:rPr>
        <w:t xml:space="preserve">Tenders are hereby invited for the work of </w:t>
      </w:r>
      <w:r w:rsidRPr="00DD20EB">
        <w:rPr>
          <w:rFonts w:ascii="Times New Roman" w:hAnsi="Times New Roman" w:cs="Times New Roman"/>
          <w:b/>
          <w:sz w:val="22"/>
          <w:szCs w:val="22"/>
        </w:rPr>
        <w:t>“</w:t>
      </w:r>
      <w:r w:rsidR="001F38E8" w:rsidRPr="001F38E8">
        <w:rPr>
          <w:rFonts w:ascii="Times New Roman" w:hAnsi="Times New Roman" w:cs="Times New Roman"/>
          <w:color w:val="222222"/>
          <w:sz w:val="22"/>
          <w:szCs w:val="22"/>
          <w:shd w:val="clear" w:color="auto" w:fill="F8F9FA"/>
        </w:rPr>
        <w:t>120</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संखक</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वृक्ष</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की</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शाखाओं</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की</w:t>
      </w:r>
      <w:r w:rsidR="001F38E8" w:rsidRPr="001F38E8">
        <w:rPr>
          <w:rFonts w:ascii="Times New Roman" w:hAnsi="Times New Roman" w:cs="Times New Roman"/>
          <w:color w:val="222222"/>
          <w:sz w:val="22"/>
          <w:szCs w:val="22"/>
          <w:shd w:val="clear" w:color="auto" w:fill="F8F9FA"/>
          <w:cs/>
        </w:rPr>
        <w:t xml:space="preserve"> </w:t>
      </w:r>
      <w:r w:rsidR="001F38E8" w:rsidRPr="001F38E8">
        <w:rPr>
          <w:rFonts w:ascii="Times New Roman" w:hAnsi="Times New Roman" w:cs="Kokila"/>
          <w:color w:val="222222"/>
          <w:sz w:val="22"/>
          <w:szCs w:val="22"/>
          <w:shd w:val="clear" w:color="auto" w:fill="F8F9FA"/>
          <w:cs/>
        </w:rPr>
        <w:t>ट्रिमिंग।</w:t>
      </w:r>
      <w:r w:rsidR="001F38E8" w:rsidRPr="001F38E8">
        <w:rPr>
          <w:rFonts w:ascii="Times New Roman" w:hAnsi="Times New Roman" w:cs="Times New Roman"/>
          <w:color w:val="222222"/>
          <w:sz w:val="22"/>
          <w:szCs w:val="22"/>
          <w:shd w:val="clear" w:color="auto" w:fill="F8F9FA"/>
          <w:cs/>
        </w:rPr>
        <w:t xml:space="preserve"> / </w:t>
      </w:r>
      <w:r w:rsidR="001F38E8" w:rsidRPr="001F38E8">
        <w:rPr>
          <w:rFonts w:ascii="Times New Roman" w:hAnsi="Times New Roman" w:cs="Times New Roman"/>
          <w:b/>
          <w:sz w:val="22"/>
          <w:szCs w:val="22"/>
        </w:rPr>
        <w:t>“</w:t>
      </w:r>
      <w:r w:rsidR="001F38E8" w:rsidRPr="001F38E8">
        <w:rPr>
          <w:rFonts w:ascii="Times New Roman" w:hAnsi="Times New Roman" w:cs="Times New Roman"/>
          <w:b/>
          <w:bCs/>
          <w:sz w:val="22"/>
          <w:szCs w:val="22"/>
        </w:rPr>
        <w:t>Trimming of 120 nos. of Tree branches</w:t>
      </w:r>
      <w:r w:rsidR="001F38E8" w:rsidRPr="001F38E8">
        <w:rPr>
          <w:rFonts w:ascii="Times New Roman" w:hAnsi="Times New Roman" w:cs="Times New Roman"/>
          <w:b/>
          <w:sz w:val="22"/>
          <w:szCs w:val="22"/>
        </w:rPr>
        <w:t>”</w:t>
      </w:r>
      <w:r w:rsidRPr="00DD20EB">
        <w:rPr>
          <w:rFonts w:ascii="Times New Roman" w:hAnsi="Times New Roman" w:cs="Times New Roman"/>
          <w:b/>
          <w:bCs/>
          <w:sz w:val="22"/>
          <w:szCs w:val="22"/>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DD20EB">
        <w:rPr>
          <w:rFonts w:ascii="Times New Roman" w:hAnsi="Times New Roman" w:cs="Times New Roman"/>
          <w:b/>
          <w:bCs/>
        </w:rPr>
        <w:t>6</w:t>
      </w:r>
      <w:r w:rsidR="001F38E8">
        <w:rPr>
          <w:rFonts w:ascii="Times New Roman" w:hAnsi="Times New Roman" w:cs="Times New Roman"/>
          <w:b/>
          <w:bCs/>
        </w:rPr>
        <w:t>7</w:t>
      </w:r>
      <w:r w:rsidR="00DD20EB">
        <w:rPr>
          <w:rFonts w:ascii="Times New Roman" w:hAnsi="Times New Roman" w:cs="Times New Roman"/>
          <w:b/>
          <w:bCs/>
        </w:rPr>
        <w:t>,</w:t>
      </w:r>
      <w:r w:rsidR="001F38E8">
        <w:rPr>
          <w:rFonts w:ascii="Times New Roman" w:hAnsi="Times New Roman" w:cs="Times New Roman"/>
          <w:b/>
          <w:bCs/>
        </w:rPr>
        <w:t>2</w:t>
      </w:r>
      <w:r w:rsidR="00834D2B">
        <w:rPr>
          <w:rFonts w:ascii="Times New Roman" w:hAnsi="Times New Roman" w:cs="Times New Roman"/>
          <w:b/>
          <w:bCs/>
        </w:rPr>
        <w:t>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w:t>
      </w:r>
      <w:r w:rsidR="00DD20EB">
        <w:rPr>
          <w:rFonts w:ascii="Times New Roman" w:hAnsi="Times New Roman" w:cs="Times New Roman"/>
          <w:b/>
          <w:bCs/>
        </w:rPr>
        <w:t xml:space="preserve">Sixty </w:t>
      </w:r>
      <w:r w:rsidR="001F38E8">
        <w:rPr>
          <w:rFonts w:ascii="Times New Roman" w:hAnsi="Times New Roman" w:cs="Times New Roman"/>
          <w:b/>
          <w:bCs/>
        </w:rPr>
        <w:t>seven</w:t>
      </w:r>
      <w:r w:rsidRPr="00BC4075">
        <w:rPr>
          <w:rFonts w:ascii="Times New Roman" w:hAnsi="Times New Roman" w:cs="Times New Roman"/>
          <w:b/>
          <w:bCs/>
        </w:rPr>
        <w:t xml:space="preserve"> thousand</w:t>
      </w:r>
      <w:r w:rsidR="00DD20EB">
        <w:rPr>
          <w:rFonts w:ascii="Times New Roman" w:hAnsi="Times New Roman" w:cs="Times New Roman"/>
          <w:b/>
          <w:bCs/>
        </w:rPr>
        <w:t xml:space="preserve"> </w:t>
      </w:r>
      <w:r w:rsidR="001F38E8">
        <w:rPr>
          <w:rFonts w:ascii="Times New Roman" w:hAnsi="Times New Roman" w:cs="Times New Roman"/>
          <w:b/>
          <w:bCs/>
        </w:rPr>
        <w:t>two</w:t>
      </w:r>
      <w:r w:rsidR="00DD20EB">
        <w:rPr>
          <w:rFonts w:ascii="Times New Roman" w:hAnsi="Times New Roman" w:cs="Times New Roman"/>
          <w:b/>
          <w:bCs/>
        </w:rPr>
        <w:t xml:space="preserve"> hundred</w:t>
      </w:r>
      <w:r w:rsidR="007378AA" w:rsidRPr="00BC4075">
        <w:rPr>
          <w:rFonts w:ascii="Times New Roman" w:hAnsi="Times New Roman" w:cs="Times New Roman"/>
          <w:b/>
          <w:bCs/>
        </w:rPr>
        <w:t xml:space="preserve"> </w:t>
      </w:r>
      <w:r w:rsidRPr="00BC4075">
        <w:rPr>
          <w:rFonts w:ascii="Times New Roman" w:hAnsi="Times New Roman" w:cs="Times New Roman"/>
          <w:b/>
          <w:bCs/>
        </w:rPr>
        <w:t>only)</w:t>
      </w:r>
      <w:r w:rsidR="009609E3" w:rsidRPr="00BC4075">
        <w:rPr>
          <w:rFonts w:ascii="Times New Roman" w:hAnsi="Times New Roman" w:cs="Times New Roman"/>
          <w:b/>
          <w:bCs/>
        </w:rPr>
        <w:t>, Two contract works amounting Rs.</w:t>
      </w:r>
      <w:r w:rsidR="00DD20EB">
        <w:rPr>
          <w:rFonts w:ascii="Times New Roman" w:hAnsi="Times New Roman" w:cs="Times New Roman"/>
          <w:b/>
          <w:bCs/>
        </w:rPr>
        <w:t>5</w:t>
      </w:r>
      <w:r w:rsidR="001F38E8">
        <w:rPr>
          <w:rFonts w:ascii="Times New Roman" w:hAnsi="Times New Roman" w:cs="Times New Roman"/>
          <w:b/>
          <w:bCs/>
        </w:rPr>
        <w:t>0</w:t>
      </w:r>
      <w:r w:rsidR="00834D2B">
        <w:rPr>
          <w:rFonts w:ascii="Times New Roman" w:hAnsi="Times New Roman" w:cs="Times New Roman"/>
          <w:b/>
          <w:bCs/>
        </w:rPr>
        <w:t>,</w:t>
      </w:r>
      <w:r w:rsidR="001F38E8">
        <w:rPr>
          <w:rFonts w:ascii="Times New Roman" w:hAnsi="Times New Roman" w:cs="Times New Roman"/>
          <w:b/>
          <w:bCs/>
        </w:rPr>
        <w:t>4</w:t>
      </w:r>
      <w:r w:rsidR="00834D2B">
        <w:rPr>
          <w:rFonts w:ascii="Times New Roman" w:hAnsi="Times New Roman" w:cs="Times New Roman"/>
          <w:b/>
          <w:bCs/>
        </w:rPr>
        <w:t>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DD20EB">
        <w:rPr>
          <w:rFonts w:ascii="Times New Roman" w:hAnsi="Times New Roman" w:cs="Times New Roman"/>
          <w:b/>
          <w:bCs/>
        </w:rPr>
        <w:t xml:space="preserve">Fifty </w:t>
      </w:r>
      <w:r w:rsidR="00BC4075">
        <w:rPr>
          <w:rFonts w:ascii="Times New Roman" w:hAnsi="Times New Roman" w:cs="Times New Roman"/>
          <w:b/>
          <w:bCs/>
        </w:rPr>
        <w:t>thousand</w:t>
      </w:r>
      <w:r w:rsidR="009609E3" w:rsidRPr="00BC4075">
        <w:rPr>
          <w:rFonts w:ascii="Times New Roman" w:hAnsi="Times New Roman" w:cs="Times New Roman"/>
          <w:b/>
          <w:bCs/>
        </w:rPr>
        <w:t xml:space="preserve"> </w:t>
      </w:r>
      <w:r w:rsidR="001F38E8">
        <w:rPr>
          <w:rFonts w:ascii="Times New Roman" w:hAnsi="Times New Roman" w:cs="Times New Roman"/>
          <w:b/>
          <w:bCs/>
        </w:rPr>
        <w:t>four</w:t>
      </w:r>
      <w:r w:rsidR="00DD20EB">
        <w:rPr>
          <w:rFonts w:ascii="Times New Roman" w:hAnsi="Times New Roman" w:cs="Times New Roman"/>
          <w:b/>
          <w:bCs/>
        </w:rPr>
        <w:t xml:space="preserve"> hundred </w:t>
      </w:r>
      <w:r w:rsidR="009609E3" w:rsidRPr="00BC4075">
        <w:rPr>
          <w:rFonts w:ascii="Times New Roman" w:hAnsi="Times New Roman" w:cs="Times New Roman"/>
          <w:b/>
          <w:bCs/>
        </w:rPr>
        <w:t xml:space="preserve">only) &amp; Three contract works amounting Rs. </w:t>
      </w:r>
      <w:r w:rsidR="00DD20EB">
        <w:rPr>
          <w:rFonts w:ascii="Times New Roman" w:hAnsi="Times New Roman" w:cs="Times New Roman"/>
          <w:b/>
          <w:bCs/>
        </w:rPr>
        <w:t>3</w:t>
      </w:r>
      <w:r w:rsidR="001F38E8">
        <w:rPr>
          <w:rFonts w:ascii="Times New Roman" w:hAnsi="Times New Roman" w:cs="Times New Roman"/>
          <w:b/>
          <w:bCs/>
        </w:rPr>
        <w:t>3</w:t>
      </w:r>
      <w:r w:rsidR="00DD20EB">
        <w:rPr>
          <w:rFonts w:ascii="Times New Roman" w:hAnsi="Times New Roman" w:cs="Times New Roman"/>
          <w:b/>
          <w:bCs/>
        </w:rPr>
        <w:t>,</w:t>
      </w:r>
      <w:r w:rsidR="001F38E8">
        <w:rPr>
          <w:rFonts w:ascii="Times New Roman" w:hAnsi="Times New Roman" w:cs="Times New Roman"/>
          <w:b/>
          <w:bCs/>
        </w:rPr>
        <w:t>6</w:t>
      </w:r>
      <w:r w:rsidR="00834D2B">
        <w:rPr>
          <w:rFonts w:ascii="Times New Roman" w:hAnsi="Times New Roman" w:cs="Times New Roman"/>
          <w:b/>
          <w:bCs/>
        </w:rPr>
        <w:t>00</w:t>
      </w:r>
      <w:r w:rsidR="009609E3" w:rsidRPr="00BC4075">
        <w:rPr>
          <w:rFonts w:ascii="Times New Roman" w:hAnsi="Times New Roman" w:cs="Times New Roman"/>
          <w:b/>
          <w:bCs/>
        </w:rPr>
        <w:t xml:space="preserve">.00 (Rupees </w:t>
      </w:r>
      <w:r w:rsidR="00BC674F">
        <w:rPr>
          <w:rFonts w:ascii="Times New Roman" w:hAnsi="Times New Roman" w:cs="Times New Roman"/>
          <w:b/>
          <w:bCs/>
        </w:rPr>
        <w:t>T</w:t>
      </w:r>
      <w:r w:rsidR="00DD20EB">
        <w:rPr>
          <w:rFonts w:ascii="Times New Roman" w:hAnsi="Times New Roman" w:cs="Times New Roman"/>
          <w:b/>
          <w:bCs/>
        </w:rPr>
        <w:t>hirty</w:t>
      </w:r>
      <w:r w:rsidR="00BC674F">
        <w:rPr>
          <w:rFonts w:ascii="Times New Roman" w:hAnsi="Times New Roman" w:cs="Times New Roman"/>
          <w:b/>
          <w:bCs/>
        </w:rPr>
        <w:t xml:space="preserve"> </w:t>
      </w:r>
      <w:r w:rsidR="001F38E8">
        <w:rPr>
          <w:rFonts w:ascii="Times New Roman" w:hAnsi="Times New Roman" w:cs="Times New Roman"/>
          <w:b/>
          <w:bCs/>
        </w:rPr>
        <w:t xml:space="preserve">three </w:t>
      </w:r>
      <w:r w:rsidR="009609E3" w:rsidRPr="00BC4075">
        <w:rPr>
          <w:rFonts w:ascii="Times New Roman" w:hAnsi="Times New Roman" w:cs="Times New Roman"/>
          <w:b/>
          <w:bCs/>
        </w:rPr>
        <w:t>thousand</w:t>
      </w:r>
      <w:r w:rsidR="00DD20EB">
        <w:rPr>
          <w:rFonts w:ascii="Times New Roman" w:hAnsi="Times New Roman" w:cs="Times New Roman"/>
          <w:b/>
          <w:bCs/>
        </w:rPr>
        <w:t xml:space="preserve"> </w:t>
      </w:r>
      <w:r w:rsidR="001F38E8">
        <w:rPr>
          <w:rFonts w:ascii="Times New Roman" w:hAnsi="Times New Roman" w:cs="Times New Roman"/>
          <w:b/>
          <w:bCs/>
        </w:rPr>
        <w:t>six</w:t>
      </w:r>
      <w:r w:rsidR="00DD20EB">
        <w:rPr>
          <w:rFonts w:ascii="Times New Roman" w:hAnsi="Times New Roman" w:cs="Times New Roman"/>
          <w:b/>
          <w:bCs/>
        </w:rPr>
        <w:t xml:space="preserve"> hundred</w:t>
      </w:r>
      <w:r w:rsidR="009609E3" w:rsidRPr="00BC4075">
        <w:rPr>
          <w:rFonts w:ascii="Times New Roman" w:hAnsi="Times New Roman" w:cs="Times New Roman"/>
          <w:b/>
          <w:bCs/>
        </w:rPr>
        <w:t xml:space="preserve">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proofErr w:type="gramStart"/>
      <w:r w:rsidR="00F8753F" w:rsidRPr="00BC4075">
        <w:rPr>
          <w:rFonts w:ascii="Times New Roman" w:hAnsi="Times New Roman" w:cs="Times New Roman"/>
          <w:b/>
          <w:bCs/>
        </w:rPr>
        <w:t xml:space="preserve">Certificate </w:t>
      </w:r>
      <w:r w:rsidRPr="00BC4075">
        <w:rPr>
          <w:rFonts w:ascii="Times New Roman" w:hAnsi="Times New Roman" w:cs="Times New Roman"/>
        </w:rPr>
        <w:t xml:space="preserve"> while</w:t>
      </w:r>
      <w:proofErr w:type="gramEnd"/>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8E3F42">
        <w:rPr>
          <w:rFonts w:ascii="Times New Roman" w:hAnsi="Times New Roman" w:cs="Times New Roman"/>
          <w:lang w:bidi="hi-IN"/>
        </w:rPr>
        <w:t xml:space="preserve"> including GST</w:t>
      </w:r>
      <w:r w:rsidRPr="001B01E9">
        <w:rPr>
          <w:rFonts w:ascii="Times New Roman" w:hAnsi="Times New Roman" w:cs="Times New Roman"/>
          <w:lang w:bidi="hi-IN"/>
        </w:rPr>
        <w:t xml:space="preserve"> is Rs. </w:t>
      </w:r>
      <w:r w:rsidR="00DD20EB">
        <w:rPr>
          <w:rFonts w:ascii="Times New Roman" w:hAnsi="Times New Roman" w:cs="Times New Roman"/>
          <w:b/>
          <w:bCs/>
          <w:lang w:bidi="hi-IN"/>
        </w:rPr>
        <w:t>8</w:t>
      </w:r>
      <w:r w:rsidR="001F38E8">
        <w:rPr>
          <w:rFonts w:ascii="Times New Roman" w:hAnsi="Times New Roman" w:cs="Times New Roman"/>
          <w:b/>
          <w:bCs/>
          <w:lang w:bidi="hi-IN"/>
        </w:rPr>
        <w:t>4</w:t>
      </w:r>
      <w:r w:rsidR="00DD20EB">
        <w:rPr>
          <w:rFonts w:ascii="Times New Roman" w:hAnsi="Times New Roman" w:cs="Times New Roman"/>
          <w:b/>
          <w:bCs/>
          <w:lang w:bidi="hi-IN"/>
        </w:rPr>
        <w:t>,0</w:t>
      </w:r>
      <w:r w:rsidR="001F38E8">
        <w:rPr>
          <w:rFonts w:ascii="Times New Roman" w:hAnsi="Times New Roman" w:cs="Times New Roman"/>
          <w:b/>
          <w:bCs/>
          <w:lang w:bidi="hi-IN"/>
        </w:rPr>
        <w:t>0</w:t>
      </w:r>
      <w:r w:rsidR="00DD20EB">
        <w:rPr>
          <w:rFonts w:ascii="Times New Roman" w:hAnsi="Times New Roman" w:cs="Times New Roman"/>
          <w:b/>
          <w:bCs/>
          <w:lang w:bidi="hi-IN"/>
        </w:rPr>
        <w:t>0</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DD20EB">
        <w:rPr>
          <w:rFonts w:ascii="Times New Roman" w:hAnsi="Times New Roman" w:cs="Times New Roman"/>
          <w:b/>
          <w:bCs/>
          <w:lang w:bidi="hi-IN"/>
        </w:rPr>
        <w:t xml:space="preserve">Eighty </w:t>
      </w:r>
      <w:r w:rsidR="001F38E8">
        <w:rPr>
          <w:rFonts w:ascii="Times New Roman" w:hAnsi="Times New Roman" w:cs="Times New Roman"/>
          <w:b/>
          <w:bCs/>
          <w:lang w:bidi="hi-IN"/>
        </w:rPr>
        <w:t>four</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1F38E8">
        <w:rPr>
          <w:rFonts w:ascii="Times New Roman" w:hAnsi="Times New Roman" w:cs="Times New Roman"/>
          <w:b/>
          <w:bCs/>
          <w:lang w:bidi="hi-IN"/>
        </w:rPr>
        <w:t>15</w:t>
      </w:r>
      <w:r w:rsidR="00B76A10">
        <w:rPr>
          <w:rFonts w:ascii="Times New Roman" w:hAnsi="Times New Roman" w:cs="Times New Roman"/>
          <w:b/>
          <w:bCs/>
          <w:lang w:bidi="hi-IN"/>
        </w:rPr>
        <w:t xml:space="preserve"> (</w:t>
      </w:r>
      <w:r w:rsidR="001F38E8">
        <w:rPr>
          <w:rFonts w:ascii="Times New Roman" w:hAnsi="Times New Roman" w:cs="Times New Roman"/>
          <w:b/>
          <w:bCs/>
          <w:lang w:bidi="hi-IN"/>
        </w:rPr>
        <w:t>Fifteen</w:t>
      </w:r>
      <w:r w:rsidR="00B76A10">
        <w:rPr>
          <w:rFonts w:ascii="Times New Roman" w:hAnsi="Times New Roman" w:cs="Times New Roman"/>
          <w:b/>
          <w:bCs/>
          <w:lang w:bidi="hi-IN"/>
        </w:rPr>
        <w:t xml:space="preserve">) </w:t>
      </w:r>
      <w:r w:rsidR="00BC674F">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71371E">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71371E">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71371E">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71371E">
        <w:rPr>
          <w:rFonts w:ascii="Times New Roman" w:hAnsi="Times New Roman" w:cs="Times New Roman"/>
          <w:b/>
          <w:bCs/>
          <w:lang w:bidi="hi-IN"/>
        </w:rPr>
        <w:t>1,</w:t>
      </w:r>
      <w:r w:rsidR="001F38E8">
        <w:rPr>
          <w:rFonts w:ascii="Times New Roman" w:hAnsi="Times New Roman" w:cs="Times New Roman"/>
          <w:b/>
          <w:bCs/>
          <w:lang w:bidi="hi-IN"/>
        </w:rPr>
        <w:t>680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71371E">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1F38E8">
        <w:rPr>
          <w:rFonts w:ascii="Times New Roman" w:hAnsi="Times New Roman" w:cs="Times New Roman"/>
          <w:b/>
          <w:bCs/>
          <w:lang w:bidi="hi-IN"/>
        </w:rPr>
        <w:t>six</w:t>
      </w:r>
      <w:r w:rsidR="00E7609E">
        <w:rPr>
          <w:rFonts w:ascii="Times New Roman" w:hAnsi="Times New Roman" w:cs="Times New Roman"/>
          <w:b/>
          <w:bCs/>
          <w:lang w:bidi="hi-IN"/>
        </w:rPr>
        <w:t xml:space="preserve"> hundred</w:t>
      </w:r>
      <w:r w:rsidR="00DD20EB">
        <w:rPr>
          <w:rFonts w:ascii="Times New Roman" w:hAnsi="Times New Roman" w:cs="Times New Roman"/>
          <w:b/>
          <w:bCs/>
          <w:lang w:bidi="hi-IN"/>
        </w:rPr>
        <w:t xml:space="preserve"> </w:t>
      </w:r>
      <w:r w:rsidR="001F38E8">
        <w:rPr>
          <w:rFonts w:ascii="Times New Roman" w:hAnsi="Times New Roman" w:cs="Times New Roman"/>
          <w:b/>
          <w:bCs/>
          <w:lang w:bidi="hi-IN"/>
        </w:rPr>
        <w:t>eighty</w:t>
      </w:r>
      <w:r w:rsidR="00E7609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w:t>
      </w:r>
      <w:r w:rsidR="00F90059">
        <w:rPr>
          <w:rFonts w:ascii="Times New Roman" w:hAnsi="Times New Roman" w:cs="Times New Roman"/>
          <w:lang w:bidi="hi-IN"/>
        </w:rPr>
        <w:t xml:space="preserve"> less than</w:t>
      </w:r>
      <w:r w:rsidRPr="001B01E9">
        <w:rPr>
          <w:rFonts w:ascii="Times New Roman" w:hAnsi="Times New Roman" w:cs="Times New Roman"/>
          <w:lang w:bidi="hi-IN"/>
        </w:rPr>
        <w:t xml:space="preserve">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37C" w:rsidRDefault="005E437C" w:rsidP="001B01E9">
      <w:pPr>
        <w:spacing w:after="0" w:line="240" w:lineRule="auto"/>
      </w:pPr>
      <w:r>
        <w:separator/>
      </w:r>
    </w:p>
  </w:endnote>
  <w:endnote w:type="continuationSeparator" w:id="0">
    <w:p w:rsidR="005E437C" w:rsidRDefault="005E437C"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5706A1">
        <w:pPr>
          <w:pStyle w:val="Footer"/>
          <w:jc w:val="center"/>
        </w:pPr>
        <w:fldSimple w:instr=" PAGE   \* MERGEFORMAT ">
          <w:r w:rsidR="001F38E8">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37C" w:rsidRDefault="005E437C" w:rsidP="001B01E9">
      <w:pPr>
        <w:spacing w:after="0" w:line="240" w:lineRule="auto"/>
      </w:pPr>
      <w:r>
        <w:separator/>
      </w:r>
    </w:p>
  </w:footnote>
  <w:footnote w:type="continuationSeparator" w:id="0">
    <w:p w:rsidR="005E437C" w:rsidRDefault="005E437C"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B5CC4"/>
    <w:rsid w:val="00173131"/>
    <w:rsid w:val="001B01E9"/>
    <w:rsid w:val="001C09BB"/>
    <w:rsid w:val="001F38E8"/>
    <w:rsid w:val="001F3E6C"/>
    <w:rsid w:val="00213D5C"/>
    <w:rsid w:val="0021560D"/>
    <w:rsid w:val="002728D4"/>
    <w:rsid w:val="0029233C"/>
    <w:rsid w:val="0032660C"/>
    <w:rsid w:val="00334636"/>
    <w:rsid w:val="00377ACB"/>
    <w:rsid w:val="003E1586"/>
    <w:rsid w:val="003F247F"/>
    <w:rsid w:val="00415EE7"/>
    <w:rsid w:val="0045782D"/>
    <w:rsid w:val="004C2F33"/>
    <w:rsid w:val="00524B1D"/>
    <w:rsid w:val="00534D6F"/>
    <w:rsid w:val="005706A1"/>
    <w:rsid w:val="00584427"/>
    <w:rsid w:val="005B2CB1"/>
    <w:rsid w:val="005C348F"/>
    <w:rsid w:val="005D54EC"/>
    <w:rsid w:val="005E437C"/>
    <w:rsid w:val="005F4BDD"/>
    <w:rsid w:val="00651191"/>
    <w:rsid w:val="006B3FB2"/>
    <w:rsid w:val="006D25B7"/>
    <w:rsid w:val="006D7675"/>
    <w:rsid w:val="00701803"/>
    <w:rsid w:val="0071371E"/>
    <w:rsid w:val="00734D57"/>
    <w:rsid w:val="007378AA"/>
    <w:rsid w:val="00773787"/>
    <w:rsid w:val="00783E6F"/>
    <w:rsid w:val="00834D2B"/>
    <w:rsid w:val="00857B11"/>
    <w:rsid w:val="00882785"/>
    <w:rsid w:val="008846E9"/>
    <w:rsid w:val="00887DCD"/>
    <w:rsid w:val="008948E7"/>
    <w:rsid w:val="008E3F42"/>
    <w:rsid w:val="008E5E07"/>
    <w:rsid w:val="00955ADD"/>
    <w:rsid w:val="009609E3"/>
    <w:rsid w:val="0097118F"/>
    <w:rsid w:val="009F019D"/>
    <w:rsid w:val="00A36F9F"/>
    <w:rsid w:val="00A542E3"/>
    <w:rsid w:val="00A7320D"/>
    <w:rsid w:val="00AA615E"/>
    <w:rsid w:val="00B011F4"/>
    <w:rsid w:val="00B15E37"/>
    <w:rsid w:val="00B63EB2"/>
    <w:rsid w:val="00B76A10"/>
    <w:rsid w:val="00BC4075"/>
    <w:rsid w:val="00BC674F"/>
    <w:rsid w:val="00BD4915"/>
    <w:rsid w:val="00C14606"/>
    <w:rsid w:val="00CA59DA"/>
    <w:rsid w:val="00CE12D5"/>
    <w:rsid w:val="00D0632E"/>
    <w:rsid w:val="00D133E1"/>
    <w:rsid w:val="00D73E5B"/>
    <w:rsid w:val="00DA7BC0"/>
    <w:rsid w:val="00DD20EB"/>
    <w:rsid w:val="00DF6855"/>
    <w:rsid w:val="00E001C1"/>
    <w:rsid w:val="00E16996"/>
    <w:rsid w:val="00E33C6D"/>
    <w:rsid w:val="00E41030"/>
    <w:rsid w:val="00E7609E"/>
    <w:rsid w:val="00EB3A14"/>
    <w:rsid w:val="00EE648A"/>
    <w:rsid w:val="00F001AA"/>
    <w:rsid w:val="00F41183"/>
    <w:rsid w:val="00F8517D"/>
    <w:rsid w:val="00F8753F"/>
    <w:rsid w:val="00F90059"/>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3</Pages>
  <Words>1225</Words>
  <Characters>6985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32</cp:revision>
  <cp:lastPrinted>2019-12-03T10:43:00Z</cp:lastPrinted>
  <dcterms:created xsi:type="dcterms:W3CDTF">2015-07-21T07:39:00Z</dcterms:created>
  <dcterms:modified xsi:type="dcterms:W3CDTF">2020-01-07T07:07:00Z</dcterms:modified>
</cp:coreProperties>
</file>